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rPr>
          <w:color w:val="auto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3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20"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eastAsia="方正黑体_GBK"/>
                <w:color w:val="auto"/>
                <w:sz w:val="36"/>
              </w:rPr>
              <w:t>练习七</w:t>
            </w:r>
            <w:r>
              <w:rPr>
                <w:rFonts w:ascii="NEU-HZ-S92" w:hAnsi="NEU-HZ-S92"/>
                <w:color w:val="auto"/>
                <w:sz w:val="36"/>
              </w:rPr>
              <w:t>　</w:t>
            </w:r>
            <w:r>
              <w:rPr>
                <w:rFonts w:hint="eastAsia" w:eastAsia="方正黑体_GBK"/>
                <w:color w:val="auto"/>
                <w:sz w:val="36"/>
              </w:rPr>
              <w:t>整十数加、减整十数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口算。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连一连。</w:t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3197225" cy="862330"/>
                  <wp:effectExtent l="0" t="0" r="0" b="0"/>
                  <wp:docPr id="82" name="st2.eps" descr="id:2147484912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st2.eps" descr="id:2147484912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520" cy="8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填一填。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30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50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40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80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10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90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80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40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50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　　　　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 w:ascii="NEU-XT-S92" w:hAnsi="NEU-XT-S92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spacing w:line="420" w:lineRule="atLeast"/>
              <w:rPr>
                <w:color w:val="auto"/>
              </w:rPr>
            </w:pPr>
          </w:p>
        </w:tc>
        <w:tc>
          <w:tcPr>
            <w:tcW w:w="3369" w:type="dxa"/>
          </w:tcPr>
          <w:p>
            <w:pPr>
              <w:rPr>
                <w:color w:val="auto"/>
              </w:rPr>
            </w:pP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678940" cy="271145"/>
                  <wp:effectExtent l="0" t="0" r="0" b="0"/>
                  <wp:docPr id="83" name="导学点睛.EPS" descr="id:2147484919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导学点睛.EPS" descr="id:2147484919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整十数加、减整十数的计算方法是</w:t>
            </w:r>
            <w:r>
              <w:rPr>
                <w:rFonts w:ascii="方正楷体_GBK" w:hAnsi="方正楷体_GBK"/>
                <w:color w:val="auto"/>
                <w:sz w:val="24"/>
              </w:rPr>
              <w:t>:</w:t>
            </w:r>
            <w:r>
              <w:rPr>
                <w:rFonts w:hint="eastAsia" w:eastAsia="方正楷体_GBK"/>
                <w:color w:val="auto"/>
                <w:sz w:val="24"/>
              </w:rPr>
              <w:t>把两个数的十位数字相加、减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再在结果的后面添上一个</w:t>
            </w:r>
            <w:r>
              <w:rPr>
                <w:color w:val="auto"/>
                <w:sz w:val="24"/>
              </w:rPr>
              <w:t>0</w:t>
            </w:r>
            <w:r>
              <w:rPr>
                <w:rFonts w:hint="eastAsia" w:eastAsia="方正楷体_GBK"/>
                <w:color w:val="auto"/>
                <w:sz w:val="24"/>
              </w:rPr>
              <w:t>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算出每个算式的得数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把上下两排中得数相同的算式连起来。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hint="eastAsia" w:eastAsia="方正楷体_GBK"/>
                <w:color w:val="auto"/>
                <w:sz w:val="24"/>
              </w:rPr>
              <w:t>减数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rFonts w:hint="eastAsia" w:eastAsia="方正楷体_GBK"/>
                <w:color w:val="auto"/>
                <w:sz w:val="24"/>
              </w:rPr>
              <w:t>被减数</w:t>
            </w:r>
            <w:r>
              <w:rPr>
                <w:rFonts w:ascii="NEU-XT-S92" w:hAnsi="NEU-XT-S92"/>
                <w:color w:val="auto"/>
                <w:sz w:val="24"/>
              </w:rPr>
              <w:t>-</w:t>
            </w:r>
            <w:r>
              <w:rPr>
                <w:rFonts w:hint="eastAsia" w:eastAsia="方正楷体_GBK"/>
                <w:color w:val="auto"/>
                <w:sz w:val="24"/>
              </w:rPr>
              <w:t>差</w:t>
            </w:r>
            <w:r>
              <w:rPr>
                <w:rFonts w:hint="eastAsia" w:eastAsia="方正楷体_GBK"/>
                <w:color w:val="auto"/>
                <w:sz w:val="24"/>
              </w:rPr>
              <w:br w:type="textWrapping"/>
            </w:r>
            <w:r>
              <w:rPr>
                <w:rFonts w:hint="eastAsia" w:eastAsia="方正楷体_GBK"/>
                <w:color w:val="auto"/>
                <w:sz w:val="24"/>
              </w:rPr>
              <w:t>加数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rFonts w:hint="eastAsia" w:eastAsia="方正楷体_GBK"/>
                <w:color w:val="auto"/>
                <w:sz w:val="24"/>
              </w:rPr>
              <w:t>和</w:t>
            </w:r>
            <w:r>
              <w:rPr>
                <w:rFonts w:ascii="NEU-XT-S92" w:hAnsi="NEU-XT-S92"/>
                <w:color w:val="auto"/>
                <w:sz w:val="24"/>
              </w:rPr>
              <w:t>-</w:t>
            </w:r>
            <w:r>
              <w:rPr>
                <w:rFonts w:hint="eastAsia" w:eastAsia="方正楷体_GBK"/>
                <w:color w:val="auto"/>
                <w:sz w:val="24"/>
              </w:rPr>
              <w:t>另一个加数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加减混合运算的运算顺序是从左到右依次计算。</w:t>
            </w:r>
          </w:p>
          <w:p>
            <w:pPr>
              <w:spacing w:line="420" w:lineRule="atLeast"/>
              <w:rPr>
                <w:color w:val="auto"/>
              </w:rPr>
            </w:pPr>
          </w:p>
        </w:tc>
      </w:tr>
    </w:tbl>
    <w:p>
      <w:pPr>
        <w:spacing w:line="420" w:lineRule="atLeast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560" w:firstLineChars="200"/>
        <w:rPr>
          <w:color w:val="auto"/>
        </w:rPr>
      </w:pPr>
    </w:p>
    <w:p>
      <w:pPr>
        <w:pStyle w:val="20"/>
        <w:spacing w:line="540" w:lineRule="exact"/>
        <w:ind w:firstLine="560" w:firstLineChars="200"/>
        <w:jc w:val="center"/>
        <w:rPr>
          <w:color w:val="auto"/>
        </w:rPr>
      </w:pPr>
    </w:p>
    <w:p>
      <w:pPr>
        <w:spacing w:line="227" w:lineRule="exact"/>
        <w:jc w:val="center"/>
        <w:rPr>
          <w:color w:val="auto"/>
        </w:rPr>
      </w:pPr>
      <w:r>
        <w:rPr>
          <w:rFonts w:hint="eastAsia" w:eastAsia="方正黑体_GBK"/>
          <w:color w:val="auto"/>
          <w:sz w:val="21"/>
        </w:rPr>
        <w:t>参考答案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90</w:t>
      </w:r>
    </w:p>
    <w:p>
      <w:pPr>
        <w:spacing w:line="227" w:lineRule="atLeas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drawing>
          <wp:inline distT="0" distB="0" distL="0" distR="0">
            <wp:extent cx="1219200" cy="255905"/>
            <wp:effectExtent l="0" t="0" r="0" b="0"/>
            <wp:docPr id="142" name="st14.eps" descr="id:21474854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st14.eps" descr="id:2147485412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20" cy="2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70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50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100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90</w:t>
      </w: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B623B"/>
    <w:rsid w:val="001208D1"/>
    <w:rsid w:val="001302C8"/>
    <w:rsid w:val="0013235C"/>
    <w:rsid w:val="00152ED9"/>
    <w:rsid w:val="00172B6E"/>
    <w:rsid w:val="001C5ADF"/>
    <w:rsid w:val="002068E6"/>
    <w:rsid w:val="002250A0"/>
    <w:rsid w:val="00276E00"/>
    <w:rsid w:val="00287FAC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B0CFB"/>
    <w:rsid w:val="005F127C"/>
    <w:rsid w:val="00655D67"/>
    <w:rsid w:val="006C537E"/>
    <w:rsid w:val="006E28A5"/>
    <w:rsid w:val="006E501A"/>
    <w:rsid w:val="00701967"/>
    <w:rsid w:val="00720332"/>
    <w:rsid w:val="007D68FC"/>
    <w:rsid w:val="0081363D"/>
    <w:rsid w:val="008320AB"/>
    <w:rsid w:val="00843D10"/>
    <w:rsid w:val="00870ECC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AD470D"/>
    <w:rsid w:val="00B308B8"/>
    <w:rsid w:val="00B356D2"/>
    <w:rsid w:val="00B82B68"/>
    <w:rsid w:val="00B92A64"/>
    <w:rsid w:val="00BA1E36"/>
    <w:rsid w:val="00BF17CB"/>
    <w:rsid w:val="00C47140"/>
    <w:rsid w:val="00C6302E"/>
    <w:rsid w:val="00C82289"/>
    <w:rsid w:val="00CB1D13"/>
    <w:rsid w:val="00CC248D"/>
    <w:rsid w:val="00CE698B"/>
    <w:rsid w:val="00D01BC0"/>
    <w:rsid w:val="00D3685C"/>
    <w:rsid w:val="00D77B0E"/>
    <w:rsid w:val="00D81827"/>
    <w:rsid w:val="00D940E1"/>
    <w:rsid w:val="00E05032"/>
    <w:rsid w:val="00E15288"/>
    <w:rsid w:val="00E336E3"/>
    <w:rsid w:val="00E5427A"/>
    <w:rsid w:val="00E629AC"/>
    <w:rsid w:val="00E93DC0"/>
    <w:rsid w:val="00EB4538"/>
    <w:rsid w:val="00F043AD"/>
    <w:rsid w:val="00F2499B"/>
    <w:rsid w:val="00F424E2"/>
    <w:rsid w:val="00F81A0E"/>
    <w:rsid w:val="00FA57C3"/>
    <w:rsid w:val="00FC4922"/>
    <w:rsid w:val="157F35CF"/>
    <w:rsid w:val="677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uiPriority w:val="99"/>
  </w:style>
  <w:style w:type="character" w:customStyle="1" w:styleId="12">
    <w:name w:val="页脚 字符"/>
    <w:basedOn w:val="9"/>
    <w:link w:val="3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	</dp:innerMaterials>
  <dp:materials>
	</dp:materials>
</dp:Materia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5505690D-EC57-40C0-9652-C948A28899F0}">
  <ds:schemaRefs/>
</ds:datastoreItem>
</file>

<file path=customXml/itemProps2.xml><?xml version="1.0" encoding="utf-8"?>
<ds:datastoreItem xmlns:ds="http://schemas.openxmlformats.org/officeDocument/2006/customXml" ds:itemID="{F8788689-C533-4448-945B-12F4B397B557}">
  <ds:schemaRefs/>
</ds:datastoreItem>
</file>

<file path=customXml/itemProps3.xml><?xml version="1.0" encoding="utf-8"?>
<ds:datastoreItem xmlns:ds="http://schemas.openxmlformats.org/officeDocument/2006/customXml" ds:itemID="{4B3307D3-B2C9-4FF8-8CBB-8B9570B3AA04}">
  <ds:schemaRefs/>
</ds:datastoreItem>
</file>

<file path=customXml/itemProps4.xml><?xml version="1.0" encoding="utf-8"?>
<ds:datastoreItem xmlns:ds="http://schemas.openxmlformats.org/officeDocument/2006/customXml" ds:itemID="{A6139CF6-5931-4AE5-A712-2A5998365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234</Words>
  <Characters>528</Characters>
  <Lines>5</Lines>
  <Paragraphs>1</Paragraphs>
  <TotalTime>0</TotalTime>
  <ScaleCrop>false</ScaleCrop>
  <LinksUpToDate>false</LinksUpToDate>
  <CharactersWithSpaces>770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2017-10-26T03:23:00Z</dcterms:created>
  <dc:creator>Intergen Administrator</dc:creator>
  <cp:lastModifiedBy>罗</cp:lastModifiedBy>
  <dcterms:modified xsi:type="dcterms:W3CDTF">2022-11-19T08:55:35Z</dcterms:modified>
  <dc:title>Medical NOte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1EE8C319896E4D2D80A084CA7662D8B8</vt:lpwstr>
  </property>
</Properties>
</file>